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564D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7564D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7564D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7564D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7564D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7564D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7564D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7564D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7564D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7564D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7564D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7564D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7564D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7564D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7564D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7564D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7564D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B4B5C"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El Patronato de Explora es un organismo descentralizado de la administración municipal de León, Gto., Oferta y realización de servicios educativos museísticos y de esparcimiento para la población. Integrado por representantes del sector gubernamental, de las comunidades científica y educativa, y de organismos intermedios de la sociedad. La participación en el Patronato es honorífica; y sus integrantes duran en sus cargos un período de 3 años, el cual puede en algunos casos renovarse por otro lapso de igual duración.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C32D099"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 informará sobre las principales condiciones económico-financieras bajo las cuales el ente público estuvo operando; y las cuales influyeron en la toma de decisiones de la administración; tanto a nivel local como federal.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6FE6329" w:rsidR="007D1E76" w:rsidRDefault="001A25F4" w:rsidP="00CB41C4">
      <w:pPr>
        <w:tabs>
          <w:tab w:val="left" w:leader="underscore" w:pos="9639"/>
        </w:tabs>
        <w:spacing w:after="0" w:line="240" w:lineRule="auto"/>
        <w:jc w:val="both"/>
        <w:rPr>
          <w:rFonts w:cs="Calibri"/>
        </w:rPr>
      </w:pPr>
      <w:r w:rsidRPr="001A25F4">
        <w:rPr>
          <w:rFonts w:cs="Calibri"/>
          <w:b/>
          <w:bCs/>
        </w:rPr>
        <w:t>El Centro de Ciencias Explora</w:t>
      </w:r>
      <w:r w:rsidRPr="001A25F4">
        <w:rPr>
          <w:rFonts w:cs="Calibri"/>
        </w:rPr>
        <w:t xml:space="preserve"> fue creado por el Patronato de la Feria Estatal de León. En 1992, el Patronato concibió la idea de crear una reserva ecológica que incluyera un centro interactivo de ciencias enfocado a la niñez, la juventud y las familias. Los Gobiernos Municipal, Estatal y Federal apoyaron el proyecto; éste último donó el predio al Municipio de León, para que el Patronato de la Feria lo administrara.</w:t>
      </w:r>
    </w:p>
    <w:p w14:paraId="2DB1F675" w14:textId="77777777" w:rsidR="001A25F4" w:rsidRDefault="001A25F4" w:rsidP="00CB41C4">
      <w:pPr>
        <w:tabs>
          <w:tab w:val="left" w:leader="underscore" w:pos="9639"/>
        </w:tabs>
        <w:spacing w:after="0" w:line="240" w:lineRule="auto"/>
        <w:jc w:val="both"/>
        <w:rPr>
          <w:rFonts w:cs="Calibri"/>
        </w:rPr>
      </w:pPr>
    </w:p>
    <w:p w14:paraId="2019C1E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El proceso de diseño y construcción tanto del parque como del centro de ciencias se llevó 16 meses. Explora abrió sus puertas al público el 23 de Noviembre de 1994.</w:t>
      </w:r>
    </w:p>
    <w:p w14:paraId="17306628" w14:textId="77777777" w:rsidR="001A25F4" w:rsidRPr="001A25F4" w:rsidRDefault="001A25F4" w:rsidP="001A25F4">
      <w:pPr>
        <w:tabs>
          <w:tab w:val="left" w:leader="underscore" w:pos="9639"/>
        </w:tabs>
        <w:spacing w:after="0" w:line="240" w:lineRule="auto"/>
        <w:jc w:val="both"/>
        <w:rPr>
          <w:rFonts w:cs="Calibri"/>
        </w:rPr>
      </w:pPr>
    </w:p>
    <w:p w14:paraId="36CBB897" w14:textId="77777777" w:rsidR="001A25F4" w:rsidRPr="001A25F4" w:rsidRDefault="001A25F4" w:rsidP="001A25F4">
      <w:pPr>
        <w:tabs>
          <w:tab w:val="left" w:leader="underscore" w:pos="9639"/>
        </w:tabs>
        <w:spacing w:after="0" w:line="240" w:lineRule="auto"/>
        <w:jc w:val="both"/>
        <w:rPr>
          <w:rFonts w:cs="Calibri"/>
        </w:rPr>
      </w:pPr>
    </w:p>
    <w:p w14:paraId="40754B3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Muy pronto Explora mostró su vocación innovativa y su enfoque de pertinencia social, al crear y poner en operación los Centros del saber, multitecas de barrio enfocadas a servir a sectores poblacionales económicamente desfavorecidos. En Febrero 1997 fueron abiertos los primeros tres Centros del saber. En Marzo 1998 y Septiembre 2000, Explora puso en operación dos Centros más.</w:t>
      </w:r>
    </w:p>
    <w:p w14:paraId="6ED2D544" w14:textId="77777777" w:rsidR="001A25F4" w:rsidRPr="001A25F4" w:rsidRDefault="001A25F4" w:rsidP="001A25F4">
      <w:pPr>
        <w:tabs>
          <w:tab w:val="left" w:leader="underscore" w:pos="9639"/>
        </w:tabs>
        <w:spacing w:after="0" w:line="240" w:lineRule="auto"/>
        <w:jc w:val="both"/>
        <w:rPr>
          <w:rFonts w:cs="Calibri"/>
        </w:rPr>
      </w:pPr>
    </w:p>
    <w:p w14:paraId="294C8791"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Mayo 1999 Explora inauguró su primera exposición itinerante, sobre el VIH-SIDA. </w:t>
      </w:r>
    </w:p>
    <w:p w14:paraId="77F994D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En Noviembre 2001, Explora recibió de la Red Pop-UNESCO el Premio Latinoamericano de</w:t>
      </w:r>
    </w:p>
    <w:p w14:paraId="3CD12EFD"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Popularización de Ciencia y Tecnología 2000-2001.</w:t>
      </w:r>
    </w:p>
    <w:p w14:paraId="4004830A"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Julio 2002, se puso en servicio la primera sala totalmente renovada del Centro de Ciencias, la Sala del Paneta Agua, creada mediante un proyecto de reingeniería de la primera Sala del Agua del Centro de Ciencias. Así se inició en la práctica el proceso de renovación educativo-museística de Explora, con horizonte de tiempo al 2010. </w:t>
      </w:r>
    </w:p>
    <w:p w14:paraId="0823FC6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Enero 2003 fue inaugurada la segunda exposición itinerante de Explora, "¡Aguas con el agua!". </w:t>
      </w:r>
    </w:p>
    <w:p w14:paraId="67962F10"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lastRenderedPageBreak/>
        <w:t xml:space="preserve">Mayo 2003: Explora fue sede y organizador de un congreso internacional, la 8° Reunión de la Red Pop; y del 12° Congreso Nacional de la SOMEDICyT. </w:t>
      </w:r>
    </w:p>
    <w:p w14:paraId="0798757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2004-2006: Renovación parcial de los contenidos educativos y museográficos de la Sala del Cuerpo Humano.</w:t>
      </w:r>
    </w:p>
    <w:p w14:paraId="7EE04633"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Abril 2006: Inauguración del nuevo sistema de proyección IMAX® 3D (en tercera dimensión), en sustitución del anterior sistema 2D. Remodelación del Teatro IMAX®.</w:t>
      </w:r>
    </w:p>
    <w:p w14:paraId="7CF2142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Julio 2006: Apertura al público del nuevo Taller de las Tecnologías Emergentes, que aborda los temas de Electrónica, Robótica, Nanotecnología y MEMS.</w:t>
      </w:r>
    </w:p>
    <w:p w14:paraId="6DFBFF4C"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Septiembre 2006: Conferencias en Explora de dos científicos galardonados con el Premio Nobel, los Dres. Leon Lederman y Charles Hard Townes.</w:t>
      </w:r>
    </w:p>
    <w:p w14:paraId="777DEC6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Mayo 2007: La Red Pop otorgó por segunda ocasión a Explora el Premio Latinoamericano de Popularización de Ciencia y Tecnología 2006-2007, en San José, Costa Rica. </w:t>
      </w:r>
    </w:p>
    <w:p w14:paraId="34E458D5"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Diciembre 2007: Concluyó la construcción del nuevo Salón de Usos Múltiples "Galileo",</w:t>
      </w:r>
    </w:p>
    <w:p w14:paraId="3730BC9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del Centro de Ciencias.</w:t>
      </w:r>
    </w:p>
    <w:p w14:paraId="3BBDBDB0" w14:textId="77777777" w:rsidR="001A25F4" w:rsidRDefault="001A25F4" w:rsidP="00CB41C4">
      <w:pPr>
        <w:tabs>
          <w:tab w:val="left" w:leader="underscore" w:pos="9639"/>
        </w:tabs>
        <w:spacing w:after="0" w:line="240" w:lineRule="auto"/>
        <w:jc w:val="both"/>
        <w:rPr>
          <w:rFonts w:cs="Calibri"/>
        </w:rPr>
      </w:pPr>
    </w:p>
    <w:p w14:paraId="5DB1D664" w14:textId="77777777" w:rsidR="001A25F4" w:rsidRPr="00E74967" w:rsidRDefault="001A25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488989" w14:textId="77777777" w:rsidR="001A25F4" w:rsidRDefault="001A25F4" w:rsidP="000C3365">
      <w:pPr>
        <w:pStyle w:val="Ttulo2"/>
        <w:rPr>
          <w:rFonts w:asciiTheme="minorHAnsi" w:hAnsiTheme="minorHAnsi" w:cstheme="minorHAnsi"/>
          <w:b/>
          <w:color w:val="auto"/>
          <w:sz w:val="22"/>
        </w:rPr>
      </w:pPr>
      <w:bookmarkStart w:id="4" w:name="_Toc508279624"/>
    </w:p>
    <w:p w14:paraId="66D140D5" w14:textId="77777777" w:rsidR="001A25F4" w:rsidRDefault="001A25F4"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C32352D"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b/>
          <w:bCs/>
        </w:rPr>
        <w:t>Promover en la comunidad,</w:t>
      </w:r>
      <w:r w:rsidRPr="001A25F4">
        <w:rPr>
          <w:rFonts w:cs="Calibri"/>
        </w:rPr>
        <w:t xml:space="preserve"> principalmente en niños y jóvenes, el gusto por el conocimiento y la investigación, en espacios que estimulen su capacidad de búsqueda de aprendizaje, de reflexión y de recreación, con base en lo medios modernos de acceso a la información y en actividades que propicien un manejo efectivo de la misma para apoyar la formación de las personas en el desarrollo de los conocimientos, habilidades y actitudes."</w:t>
      </w:r>
    </w:p>
    <w:p w14:paraId="3ACF74F3" w14:textId="5FA6C721"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5A8A68"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operar, conservar, mejorar, desarrollar y renovar el centro de ciencias y sus centros del saber, a fin de cumplir con la misión y lograr los objetivos permanentes, operación, mantenimiento, servicio y desarrollo de Explora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F8DCDFD" w14:textId="1F70E67C" w:rsidR="001A25F4" w:rsidRPr="001A25F4" w:rsidRDefault="001A25F4" w:rsidP="001A25F4">
      <w:pPr>
        <w:tabs>
          <w:tab w:val="left" w:leader="underscore" w:pos="9639"/>
        </w:tabs>
        <w:spacing w:after="0" w:line="240" w:lineRule="auto"/>
        <w:jc w:val="both"/>
        <w:rPr>
          <w:rFonts w:cs="Calibri"/>
          <w:u w:val="single"/>
        </w:rPr>
      </w:pPr>
      <w:r w:rsidRPr="001A25F4">
        <w:rPr>
          <w:rFonts w:cs="Calibri"/>
        </w:rPr>
        <w:t>___</w:t>
      </w:r>
      <w:r>
        <w:rPr>
          <w:rFonts w:cs="Calibri"/>
          <w:u w:val="single"/>
        </w:rPr>
        <w:t xml:space="preserve"> Enero – Marzo 2018</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45A1D7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Patronato de Explora, persona moral sin fines de lucro</w:t>
      </w:r>
    </w:p>
    <w:p w14:paraId="527EF02B" w14:textId="77777777" w:rsidR="001A25F4" w:rsidRDefault="001A25F4" w:rsidP="00CB41C4">
      <w:pPr>
        <w:tabs>
          <w:tab w:val="left" w:leader="underscore" w:pos="9639"/>
        </w:tabs>
        <w:spacing w:after="0" w:line="240" w:lineRule="auto"/>
        <w:jc w:val="both"/>
        <w:rPr>
          <w:rFonts w:cs="Calibri"/>
          <w:b/>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ACA8B0A"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de isr por salarios</w:t>
      </w:r>
    </w:p>
    <w:p w14:paraId="2744D36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de isr por honorararios</w:t>
      </w:r>
    </w:p>
    <w:p w14:paraId="166DF46D"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residenteres en el extranjero</w:t>
      </w:r>
    </w:p>
    <w:p w14:paraId="1346B85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lastRenderedPageBreak/>
        <w:t>impuesto cedular sobre nomina</w:t>
      </w:r>
    </w:p>
    <w:p w14:paraId="1B19B02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impuestos cedular arrendamiento</w:t>
      </w:r>
    </w:p>
    <w:p w14:paraId="4388836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 cedular honorarios</w:t>
      </w:r>
    </w:p>
    <w:p w14:paraId="67257362"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al valor agregado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5F33799" w14:textId="77777777" w:rsidR="00CB41C4" w:rsidRDefault="00CB41C4" w:rsidP="00CB41C4">
      <w:pPr>
        <w:tabs>
          <w:tab w:val="left" w:leader="underscore" w:pos="9639"/>
        </w:tabs>
        <w:spacing w:after="0" w:line="240" w:lineRule="auto"/>
        <w:jc w:val="both"/>
        <w:rPr>
          <w:rFonts w:cs="Calibri"/>
        </w:rPr>
      </w:pPr>
    </w:p>
    <w:p w14:paraId="7665ED00" w14:textId="77777777" w:rsidR="001A25F4" w:rsidRPr="00E74967" w:rsidRDefault="001A25F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74189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No aplica </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634A88B2" w:rsidR="007D1E76" w:rsidRDefault="001A25F4" w:rsidP="00CB41C4">
      <w:pPr>
        <w:tabs>
          <w:tab w:val="left" w:leader="underscore" w:pos="9639"/>
        </w:tabs>
        <w:spacing w:after="0" w:line="240" w:lineRule="auto"/>
        <w:jc w:val="both"/>
        <w:rPr>
          <w:rFonts w:cs="Calibri"/>
        </w:rPr>
      </w:pPr>
      <w:r>
        <w:rPr>
          <w:rFonts w:cs="Calibri"/>
        </w:rPr>
        <w:t>SI</w:t>
      </w:r>
    </w:p>
    <w:p w14:paraId="2176BD57" w14:textId="77777777" w:rsidR="001A25F4" w:rsidRPr="00E74967" w:rsidRDefault="001A25F4"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09B847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Normas y metodología para la determinación de los momentos contables de los egresos (DOF)</w:t>
      </w:r>
    </w:p>
    <w:p w14:paraId="33017FF1" w14:textId="77777777" w:rsidR="001A25F4" w:rsidRDefault="001A25F4"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C3BFCCB"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postulados básicos de la contabilidad gubernamental (CONAC)</w:t>
      </w:r>
    </w:p>
    <w:p w14:paraId="59CBEC60" w14:textId="77777777" w:rsidR="001A25F4" w:rsidRDefault="001A25F4" w:rsidP="00CB41C4">
      <w:pPr>
        <w:tabs>
          <w:tab w:val="left" w:leader="underscore" w:pos="9639"/>
        </w:tabs>
        <w:spacing w:after="0" w:line="240" w:lineRule="auto"/>
        <w:jc w:val="both"/>
        <w:rPr>
          <w:rFonts w:cs="Calibri"/>
          <w:b/>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BB155D7"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72A821D7" w14:textId="77777777" w:rsidR="001A25F4" w:rsidRDefault="001A25F4" w:rsidP="00CB41C4">
      <w:pPr>
        <w:tabs>
          <w:tab w:val="left" w:leader="underscore" w:pos="9639"/>
        </w:tabs>
        <w:spacing w:after="0" w:line="240" w:lineRule="auto"/>
        <w:jc w:val="both"/>
        <w:rPr>
          <w:rFonts w:cs="Calibri"/>
          <w:b/>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0C8CBF3"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6E9230AD" w14:textId="77777777" w:rsidR="001A25F4" w:rsidRDefault="001A25F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3FCCDB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02E38A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0360043A" w14:textId="4930620C"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8B499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FF077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Regalías, película y mantenimiento de teatro Imax</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05654A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1BD803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66AE54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02B2AB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78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499BC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FCAFC9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F55CD1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CAD0C2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EF61E8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7C7AED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F6DA88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3145A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A0205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73843BC"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569FCE5" w14:textId="639506F1"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00E07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470673E"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361B8A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EFA8EE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50ADAE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41043EA"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2376F6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1BB52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738BAC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54EFE6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9CE03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8DD1FA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840598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A8FD4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7ADB52AF" w14:textId="77777777" w:rsidR="00CF5A28" w:rsidRPr="00E74967" w:rsidRDefault="00CF5A28" w:rsidP="00CF5A28">
      <w:pPr>
        <w:pBdr>
          <w:bottom w:val="single" w:sz="12" w:space="1" w:color="auto"/>
        </w:pBdr>
        <w:spacing w:after="0" w:line="240" w:lineRule="auto"/>
        <w:jc w:val="both"/>
        <w:rPr>
          <w:rFonts w:cs="Calibri"/>
        </w:rPr>
      </w:pPr>
    </w:p>
    <w:p w14:paraId="4B000E0B" w14:textId="77777777" w:rsidR="00CF5A28" w:rsidRPr="00E74967" w:rsidRDefault="00CF5A28" w:rsidP="00CF5A28">
      <w:pPr>
        <w:spacing w:after="0" w:line="240" w:lineRule="auto"/>
        <w:jc w:val="both"/>
        <w:rPr>
          <w:rFonts w:cs="Calibri"/>
        </w:rPr>
      </w:pPr>
    </w:p>
    <w:p w14:paraId="5C27893F" w14:textId="77777777" w:rsidR="00CF5A28" w:rsidRDefault="00CF5A28" w:rsidP="00CF5A28">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73C91A23" w14:textId="77777777" w:rsidR="00CF5A28" w:rsidRPr="006D7827" w:rsidRDefault="00CF5A28" w:rsidP="00CF5A28">
      <w:pPr>
        <w:spacing w:after="0" w:line="240" w:lineRule="auto"/>
        <w:jc w:val="both"/>
        <w:rPr>
          <w:rFonts w:ascii="Arial" w:eastAsia="Times New Roman" w:hAnsi="Arial" w:cs="Arial"/>
          <w:sz w:val="16"/>
          <w:szCs w:val="16"/>
          <w:lang w:eastAsia="es-MX"/>
        </w:rPr>
      </w:pPr>
    </w:p>
    <w:p w14:paraId="04FCB245" w14:textId="77777777" w:rsidR="00CF5A28" w:rsidRPr="00E74967" w:rsidRDefault="00CF5A28" w:rsidP="00CF5A28">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58A955BB" wp14:editId="734AC065">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49007027"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30DB63A8"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58A955BB"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49007027"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30DB63A8"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15C3DE40" wp14:editId="163204F6">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5C3DE40" id="6 CuadroTexto" o:spid="_x0000_s102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7F4FE54" wp14:editId="2CCD8F65">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BB68B0"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6502D5FA" wp14:editId="38D7D22E">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D67A38"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4AA6F9F0" wp14:editId="02CF541E">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AA6F9F0" id="_x0000_s102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66DAB3E6" wp14:editId="6F3476D0">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573C9A2D"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4AF38252"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DAB3E6" id="_x0000_s102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73C9A2D"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4AF38252"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14:paraId="6D4FB6CA" w14:textId="77777777" w:rsidR="00CF5A28" w:rsidRDefault="00CF5A28" w:rsidP="00CF5A28">
      <w:pPr>
        <w:jc w:val="both"/>
        <w:rPr>
          <w:rFonts w:cs="Calibri"/>
        </w:rPr>
      </w:pPr>
    </w:p>
    <w:p w14:paraId="2624464A" w14:textId="77777777" w:rsidR="00CF5A28" w:rsidRPr="00E74967" w:rsidRDefault="00CF5A28" w:rsidP="00CF5A28">
      <w:pPr>
        <w:jc w:val="both"/>
        <w:rPr>
          <w:rFonts w:cs="Calibri"/>
        </w:rPr>
      </w:pPr>
    </w:p>
    <w:p w14:paraId="3870A51F" w14:textId="77777777" w:rsidR="007610BC" w:rsidRPr="0012405A" w:rsidRDefault="007610BC" w:rsidP="00CF5A28">
      <w:pPr>
        <w:pStyle w:val="Ttulo2"/>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309F9" w14:textId="77777777" w:rsidR="001A25F4" w:rsidRDefault="001A25F4" w:rsidP="00E00323">
      <w:pPr>
        <w:spacing w:after="0" w:line="240" w:lineRule="auto"/>
      </w:pPr>
      <w:r>
        <w:separator/>
      </w:r>
    </w:p>
  </w:endnote>
  <w:endnote w:type="continuationSeparator" w:id="0">
    <w:p w14:paraId="244106AD" w14:textId="77777777" w:rsidR="001A25F4" w:rsidRDefault="001A25F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698BDA1" w:rsidR="001A25F4" w:rsidRDefault="001A25F4">
        <w:pPr>
          <w:pStyle w:val="Piedepgina"/>
          <w:jc w:val="right"/>
        </w:pPr>
        <w:r>
          <w:fldChar w:fldCharType="begin"/>
        </w:r>
        <w:r>
          <w:instrText>PAGE   \* MERGEFORMAT</w:instrText>
        </w:r>
        <w:r>
          <w:fldChar w:fldCharType="separate"/>
        </w:r>
        <w:r w:rsidR="007564D0" w:rsidRPr="007564D0">
          <w:rPr>
            <w:noProof/>
            <w:lang w:val="es-ES"/>
          </w:rPr>
          <w:t>1</w:t>
        </w:r>
        <w:r>
          <w:fldChar w:fldCharType="end"/>
        </w:r>
      </w:p>
    </w:sdtContent>
  </w:sdt>
  <w:p w14:paraId="37983FFD" w14:textId="77777777" w:rsidR="001A25F4" w:rsidRDefault="001A25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BA88" w14:textId="77777777" w:rsidR="001A25F4" w:rsidRDefault="001A25F4" w:rsidP="00E00323">
      <w:pPr>
        <w:spacing w:after="0" w:line="240" w:lineRule="auto"/>
      </w:pPr>
      <w:r>
        <w:separator/>
      </w:r>
    </w:p>
  </w:footnote>
  <w:footnote w:type="continuationSeparator" w:id="0">
    <w:p w14:paraId="2009F7DE" w14:textId="77777777" w:rsidR="001A25F4" w:rsidRDefault="001A25F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E181FBA" w:rsidR="001A25F4" w:rsidRDefault="001A25F4" w:rsidP="00A4610E">
    <w:pPr>
      <w:pStyle w:val="Encabezado"/>
      <w:spacing w:after="0" w:line="240" w:lineRule="auto"/>
      <w:jc w:val="center"/>
    </w:pPr>
    <w:r>
      <w:t>Patronato de Explora</w:t>
    </w:r>
  </w:p>
  <w:p w14:paraId="7FC67D05" w14:textId="43858F87" w:rsidR="001A25F4" w:rsidRDefault="001A25F4" w:rsidP="00264F46">
    <w:pPr>
      <w:pStyle w:val="Encabezado"/>
      <w:spacing w:after="0" w:line="240" w:lineRule="auto"/>
      <w:jc w:val="center"/>
    </w:pPr>
    <w:r w:rsidRPr="00A4610E">
      <w:t xml:space="preserve">CORRESPONDINTES AL </w:t>
    </w:r>
    <w:r w:rsidR="000303D1">
      <w:t>3</w:t>
    </w:r>
    <w:r w:rsidR="007564D0">
      <w:t>1</w:t>
    </w:r>
    <w:r w:rsidR="009046B4">
      <w:t xml:space="preserve"> DE </w:t>
    </w:r>
    <w:r w:rsidR="007564D0">
      <w:t>DICIEMBRE</w:t>
    </w:r>
    <w:r w:rsidR="002507F9">
      <w:t xml:space="preserve"> DE</w:t>
    </w:r>
    <w:r w:rsidR="000303D1">
      <w:t xml:space="preserv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03D1"/>
    <w:rsid w:val="00040D4F"/>
    <w:rsid w:val="00084EAE"/>
    <w:rsid w:val="00091CE6"/>
    <w:rsid w:val="000B7810"/>
    <w:rsid w:val="000C3365"/>
    <w:rsid w:val="0012405A"/>
    <w:rsid w:val="00154BA3"/>
    <w:rsid w:val="001973A2"/>
    <w:rsid w:val="001A25F4"/>
    <w:rsid w:val="001C75F2"/>
    <w:rsid w:val="001D2063"/>
    <w:rsid w:val="001D43E9"/>
    <w:rsid w:val="002507F9"/>
    <w:rsid w:val="00264F46"/>
    <w:rsid w:val="003453CA"/>
    <w:rsid w:val="00435A87"/>
    <w:rsid w:val="004A58C8"/>
    <w:rsid w:val="0054701E"/>
    <w:rsid w:val="005D3E43"/>
    <w:rsid w:val="005E231E"/>
    <w:rsid w:val="00657009"/>
    <w:rsid w:val="00681C79"/>
    <w:rsid w:val="007564D0"/>
    <w:rsid w:val="007610BC"/>
    <w:rsid w:val="007714AB"/>
    <w:rsid w:val="007D1E76"/>
    <w:rsid w:val="007D4484"/>
    <w:rsid w:val="0086459F"/>
    <w:rsid w:val="008C3BB8"/>
    <w:rsid w:val="008E076C"/>
    <w:rsid w:val="009046B4"/>
    <w:rsid w:val="0092765C"/>
    <w:rsid w:val="00A4610E"/>
    <w:rsid w:val="00A730E0"/>
    <w:rsid w:val="00AA41E5"/>
    <w:rsid w:val="00AB722B"/>
    <w:rsid w:val="00AE1F6A"/>
    <w:rsid w:val="00C97E1E"/>
    <w:rsid w:val="00CB41C4"/>
    <w:rsid w:val="00CF1316"/>
    <w:rsid w:val="00CF5A28"/>
    <w:rsid w:val="00D13C44"/>
    <w:rsid w:val="00D975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47DA28"/>
  <w15:docId w15:val="{AD967AAD-5A46-431C-BD15-C032D6F5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A3DBFB-6C99-41DC-83E0-8DCB1F82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2447</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mario alberto aldape lugo</cp:lastModifiedBy>
  <cp:revision>20</cp:revision>
  <dcterms:created xsi:type="dcterms:W3CDTF">2017-01-12T05:27:00Z</dcterms:created>
  <dcterms:modified xsi:type="dcterms:W3CDTF">2020-01-16T17:37:00Z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